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2745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89C5564" w14:textId="77777777" w:rsidR="002B315A" w:rsidRDefault="002B315A">
      <w:pPr>
        <w:pStyle w:val="Nosaukums"/>
        <w:rPr>
          <w:sz w:val="28"/>
        </w:rPr>
      </w:pPr>
    </w:p>
    <w:p w14:paraId="10849BB6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5B8E952A" w14:textId="77777777">
        <w:trPr>
          <w:cantSplit/>
        </w:trPr>
        <w:tc>
          <w:tcPr>
            <w:tcW w:w="1548" w:type="dxa"/>
            <w:vMerge w:val="restart"/>
          </w:tcPr>
          <w:p w14:paraId="4A563DB1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983B5" w14:textId="6DC12853" w:rsidR="002B315A" w:rsidRPr="00361F09" w:rsidRDefault="00A924D1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1763EAF1" w14:textId="77777777">
        <w:trPr>
          <w:cantSplit/>
        </w:trPr>
        <w:tc>
          <w:tcPr>
            <w:tcW w:w="1548" w:type="dxa"/>
            <w:vMerge/>
            <w:vAlign w:val="center"/>
          </w:tcPr>
          <w:p w14:paraId="07FD410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B3878D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6F38D44C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6AEAA973" w14:textId="77777777" w:rsidTr="00361F09">
        <w:trPr>
          <w:cantSplit/>
          <w:trHeight w:val="290"/>
        </w:trPr>
        <w:tc>
          <w:tcPr>
            <w:tcW w:w="1008" w:type="dxa"/>
          </w:tcPr>
          <w:p w14:paraId="72356303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05247097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2000621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35F7FF73" w14:textId="476503F3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60FA1FE" w14:textId="0454E1BF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</w:p>
        </w:tc>
        <w:tc>
          <w:tcPr>
            <w:tcW w:w="900" w:type="dxa"/>
          </w:tcPr>
          <w:p w14:paraId="20C63E21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04A3BF2" w14:textId="0F9D4C00" w:rsidR="002B315A" w:rsidRDefault="00E26997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pasts</w:t>
            </w:r>
            <w:r w:rsidR="002B315A">
              <w:rPr>
                <w:b/>
                <w:sz w:val="22"/>
              </w:rPr>
              <w:t>@p</w:t>
            </w:r>
            <w:r w:rsidR="00342327">
              <w:rPr>
                <w:b/>
                <w:sz w:val="22"/>
              </w:rPr>
              <w:t>ossessor</w:t>
            </w:r>
            <w:r w:rsidR="002B315A">
              <w:rPr>
                <w:b/>
                <w:sz w:val="22"/>
              </w:rPr>
              <w:t>.gov.lv</w:t>
            </w:r>
          </w:p>
        </w:tc>
      </w:tr>
    </w:tbl>
    <w:p w14:paraId="47738867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3644B95A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259817CA" w14:textId="77777777" w:rsidTr="002D2603">
        <w:trPr>
          <w:cantSplit/>
        </w:trPr>
        <w:tc>
          <w:tcPr>
            <w:tcW w:w="4503" w:type="dxa"/>
            <w:vMerge w:val="restart"/>
          </w:tcPr>
          <w:p w14:paraId="058774AF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1FE3" w14:textId="10400BC4" w:rsidR="002B315A" w:rsidRPr="00A924D1" w:rsidRDefault="00096581" w:rsidP="00800D80">
            <w:pPr>
              <w:pStyle w:val="Apakvirsraksts"/>
              <w:rPr>
                <w:b/>
                <w:bCs/>
                <w:sz w:val="22"/>
              </w:rPr>
            </w:pPr>
            <w:r w:rsidRPr="00C501ED">
              <w:t>Divu esošo pasažieru liftu demontāža, šahtu pielāgošanas darbi, jaunu liftu piegāde un uzstādīšana ēkā Krišjāņa Valdemāra ielā 31, Rīgā</w:t>
            </w:r>
          </w:p>
        </w:tc>
      </w:tr>
      <w:tr w:rsidR="002B315A" w14:paraId="6499085F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56D56F6E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0C100" w14:textId="77777777" w:rsidR="002B315A" w:rsidRDefault="002B315A" w:rsidP="004E7229">
            <w:pPr>
              <w:pStyle w:val="Apakvirsraksts"/>
              <w:ind w:right="-146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5DE30983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9F0E118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58F8553F" w14:textId="20F2A25A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5C2C58">
        <w:rPr>
          <w:szCs w:val="24"/>
          <w:u w:val="single"/>
        </w:rPr>
        <w:t>POSSESSOR/202</w:t>
      </w:r>
      <w:r w:rsidR="00703CAC">
        <w:rPr>
          <w:szCs w:val="24"/>
          <w:u w:val="single"/>
        </w:rPr>
        <w:t>4/3</w:t>
      </w:r>
      <w:r w:rsidR="00A43802">
        <w:rPr>
          <w:szCs w:val="24"/>
          <w:u w:val="single"/>
        </w:rPr>
        <w:t>8</w:t>
      </w:r>
    </w:p>
    <w:p w14:paraId="49EB3192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5ED98627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59FC7762" w14:textId="6B231D04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703CAC">
        <w:rPr>
          <w:szCs w:val="24"/>
          <w:u w:val="single"/>
        </w:rPr>
        <w:t>2</w:t>
      </w:r>
      <w:r w:rsidR="00A43802">
        <w:rPr>
          <w:szCs w:val="24"/>
          <w:u w:val="single"/>
        </w:rPr>
        <w:t>8</w:t>
      </w:r>
      <w:r w:rsidR="00703CAC">
        <w:rPr>
          <w:szCs w:val="24"/>
          <w:u w:val="single"/>
        </w:rPr>
        <w:t>.08.2024.</w:t>
      </w:r>
    </w:p>
    <w:p w14:paraId="457CD60C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612C765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01C46AE8" w14:textId="77777777" w:rsidR="002B315A" w:rsidRDefault="002B315A">
      <w:pPr>
        <w:pStyle w:val="Apakvirsraksts"/>
        <w:jc w:val="both"/>
        <w:rPr>
          <w:sz w:val="16"/>
        </w:rPr>
      </w:pPr>
    </w:p>
    <w:p w14:paraId="6745F975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027FD9AC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p w14:paraId="5466D9F4" w14:textId="77D8C0FB" w:rsidR="009D107F" w:rsidRPr="009D107F" w:rsidRDefault="00A43802" w:rsidP="00A43802">
      <w:pPr>
        <w:jc w:val="both"/>
        <w:rPr>
          <w:szCs w:val="24"/>
          <w:shd w:val="clear" w:color="auto" w:fill="FFFFFF"/>
        </w:rPr>
      </w:pPr>
      <w:bookmarkStart w:id="0" w:name="_Hlk89770162"/>
      <w:r>
        <w:t>Iepirkuma komisija 2024. gada 28. augustā nolēma pā</w:t>
      </w:r>
      <w:r w:rsidRPr="00C501ED">
        <w:t>rtraukt iepirkuma “Divu esošo pasažieru liftu demontāža, šahtu pielāgošanas darbi, jaunu liftu piegāde un uzstādīšana ēkā Krišjāņa Valdemāra ielā 31, Rīgā” (POSSESSOR/2024/38) procedūru un neslēgt līgumu ar</w:t>
      </w:r>
      <w:r w:rsidRPr="00C501ED">
        <w:rPr>
          <w:bCs/>
        </w:rPr>
        <w:t xml:space="preserve"> </w:t>
      </w:r>
      <w:r w:rsidRPr="00C501ED">
        <w:t>SIA “</w:t>
      </w:r>
      <w:proofErr w:type="spellStart"/>
      <w:r w:rsidRPr="00C501ED">
        <w:t>Schindler</w:t>
      </w:r>
      <w:proofErr w:type="spellEnd"/>
      <w:r w:rsidRPr="00C501ED">
        <w:t xml:space="preserve"> lifts” </w:t>
      </w:r>
      <w:r w:rsidRPr="00C501ED">
        <w:rPr>
          <w:rFonts w:eastAsia="SimSun"/>
        </w:rPr>
        <w:t xml:space="preserve">par kopējo līgumcenu </w:t>
      </w:r>
      <w:r w:rsidRPr="00C501ED">
        <w:t>par būvdarbiem – 98’000 EUR (</w:t>
      </w:r>
      <w:r w:rsidRPr="00C501ED">
        <w:rPr>
          <w:i/>
          <w:iCs/>
        </w:rPr>
        <w:t xml:space="preserve">deviņdesmit astoņi tūkstoši </w:t>
      </w:r>
      <w:proofErr w:type="spellStart"/>
      <w:r w:rsidRPr="00C501ED">
        <w:rPr>
          <w:i/>
          <w:iCs/>
        </w:rPr>
        <w:t>euro</w:t>
      </w:r>
      <w:proofErr w:type="spellEnd"/>
      <w:r>
        <w:rPr>
          <w:i/>
          <w:iCs/>
        </w:rPr>
        <w:t>)</w:t>
      </w:r>
      <w:r w:rsidRPr="00C501ED">
        <w:t xml:space="preserve">, neieskaitot pievienotās vērtības nodokli, pamatojoties uz Publisko iepirkumu likuma 9. panta trīspadsmit </w:t>
      </w:r>
      <w:proofErr w:type="spellStart"/>
      <w:r w:rsidRPr="00C501ED">
        <w:t>prim</w:t>
      </w:r>
      <w:proofErr w:type="spellEnd"/>
      <w:r w:rsidRPr="00C501ED">
        <w:t xml:space="preserve"> daļu, ņemot vērā nepieciešamību veikt būtiskus grozījumus iepirkuma dokumentācijā saistībā ar izmaiņām kvalifikācijas prasībās pretendentiem un tehniskajā specifikācijā.</w:t>
      </w:r>
    </w:p>
    <w:p w14:paraId="6ED1E3E0" w14:textId="6B3B1378" w:rsidR="007F7FE2" w:rsidRDefault="009D107F" w:rsidP="00084D49">
      <w:pPr>
        <w:ind w:firstLine="720"/>
        <w:jc w:val="both"/>
        <w:rPr>
          <w:szCs w:val="24"/>
        </w:rPr>
      </w:pPr>
      <w:r>
        <w:rPr>
          <w:rFonts w:ascii="Arial" w:hAnsi="Arial" w:cs="Arial"/>
          <w:color w:val="414142"/>
          <w:sz w:val="20"/>
          <w:shd w:val="clear" w:color="auto" w:fill="FFFFFF"/>
        </w:rPr>
        <w:t xml:space="preserve"> </w:t>
      </w:r>
    </w:p>
    <w:bookmarkEnd w:id="0"/>
    <w:p w14:paraId="051FFA0C" w14:textId="04E27271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A43802">
        <w:rPr>
          <w:szCs w:val="24"/>
          <w:u w:val="single"/>
        </w:rPr>
        <w:t>02.09.</w:t>
      </w:r>
      <w:r w:rsidR="00054C53">
        <w:rPr>
          <w:szCs w:val="24"/>
          <w:u w:val="single"/>
        </w:rPr>
        <w:t>2024.</w:t>
      </w:r>
    </w:p>
    <w:p w14:paraId="36C8409A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3B632E29" w14:textId="77777777" w:rsidR="002B315A" w:rsidRDefault="002B315A">
      <w:pPr>
        <w:pStyle w:val="Apakvirsraksts"/>
        <w:jc w:val="both"/>
        <w:rPr>
          <w:sz w:val="16"/>
        </w:rPr>
      </w:pPr>
    </w:p>
    <w:p w14:paraId="66EEA90B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54C53"/>
    <w:rsid w:val="00084D49"/>
    <w:rsid w:val="00087374"/>
    <w:rsid w:val="00096581"/>
    <w:rsid w:val="000C5E67"/>
    <w:rsid w:val="000D6813"/>
    <w:rsid w:val="000E083C"/>
    <w:rsid w:val="000E4841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5A3A"/>
    <w:rsid w:val="002665C9"/>
    <w:rsid w:val="00297C72"/>
    <w:rsid w:val="002A7699"/>
    <w:rsid w:val="002B315A"/>
    <w:rsid w:val="002D2603"/>
    <w:rsid w:val="002E2090"/>
    <w:rsid w:val="002F0392"/>
    <w:rsid w:val="002F3085"/>
    <w:rsid w:val="00335DD2"/>
    <w:rsid w:val="00342327"/>
    <w:rsid w:val="003434A3"/>
    <w:rsid w:val="003557D9"/>
    <w:rsid w:val="00361F09"/>
    <w:rsid w:val="00384E19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E7229"/>
    <w:rsid w:val="004F1267"/>
    <w:rsid w:val="00515998"/>
    <w:rsid w:val="00543011"/>
    <w:rsid w:val="00544AD1"/>
    <w:rsid w:val="0055232D"/>
    <w:rsid w:val="00560CEF"/>
    <w:rsid w:val="00575B6D"/>
    <w:rsid w:val="005964E4"/>
    <w:rsid w:val="005A1D1E"/>
    <w:rsid w:val="005B1DEA"/>
    <w:rsid w:val="005B3DEA"/>
    <w:rsid w:val="005C2C58"/>
    <w:rsid w:val="005C6E14"/>
    <w:rsid w:val="006007D2"/>
    <w:rsid w:val="00623BC9"/>
    <w:rsid w:val="00644E10"/>
    <w:rsid w:val="00657917"/>
    <w:rsid w:val="00681375"/>
    <w:rsid w:val="0069351D"/>
    <w:rsid w:val="006C03DA"/>
    <w:rsid w:val="006D0D82"/>
    <w:rsid w:val="006D1820"/>
    <w:rsid w:val="006F2B23"/>
    <w:rsid w:val="00703CAC"/>
    <w:rsid w:val="00706333"/>
    <w:rsid w:val="00727C5E"/>
    <w:rsid w:val="00732A4D"/>
    <w:rsid w:val="0073441F"/>
    <w:rsid w:val="00757B61"/>
    <w:rsid w:val="007656F9"/>
    <w:rsid w:val="007918C2"/>
    <w:rsid w:val="00795C44"/>
    <w:rsid w:val="007B4CC7"/>
    <w:rsid w:val="007C025E"/>
    <w:rsid w:val="007C2C5F"/>
    <w:rsid w:val="007E41C7"/>
    <w:rsid w:val="007E6231"/>
    <w:rsid w:val="007F5B9E"/>
    <w:rsid w:val="007F7FE2"/>
    <w:rsid w:val="00800D80"/>
    <w:rsid w:val="00850EAA"/>
    <w:rsid w:val="00862976"/>
    <w:rsid w:val="0086496B"/>
    <w:rsid w:val="00865E69"/>
    <w:rsid w:val="00866071"/>
    <w:rsid w:val="00886940"/>
    <w:rsid w:val="008A7C79"/>
    <w:rsid w:val="008C195D"/>
    <w:rsid w:val="008C77F8"/>
    <w:rsid w:val="008E3281"/>
    <w:rsid w:val="0090144E"/>
    <w:rsid w:val="00913FC1"/>
    <w:rsid w:val="009342A1"/>
    <w:rsid w:val="009479C2"/>
    <w:rsid w:val="009607B6"/>
    <w:rsid w:val="0098713F"/>
    <w:rsid w:val="009B48CF"/>
    <w:rsid w:val="009C435C"/>
    <w:rsid w:val="009C66B0"/>
    <w:rsid w:val="009D107F"/>
    <w:rsid w:val="009D3206"/>
    <w:rsid w:val="00A03612"/>
    <w:rsid w:val="00A03BDA"/>
    <w:rsid w:val="00A420BF"/>
    <w:rsid w:val="00A43802"/>
    <w:rsid w:val="00A77037"/>
    <w:rsid w:val="00A828D4"/>
    <w:rsid w:val="00A924D1"/>
    <w:rsid w:val="00A93C8B"/>
    <w:rsid w:val="00A96E32"/>
    <w:rsid w:val="00AA5448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83895"/>
    <w:rsid w:val="00BA0E56"/>
    <w:rsid w:val="00BA5894"/>
    <w:rsid w:val="00BB2F81"/>
    <w:rsid w:val="00BB6DC6"/>
    <w:rsid w:val="00BE6366"/>
    <w:rsid w:val="00BF49B2"/>
    <w:rsid w:val="00BF4B51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18F8"/>
    <w:rsid w:val="00D15BF1"/>
    <w:rsid w:val="00D202B0"/>
    <w:rsid w:val="00D45DAA"/>
    <w:rsid w:val="00D54348"/>
    <w:rsid w:val="00D624B6"/>
    <w:rsid w:val="00D96F57"/>
    <w:rsid w:val="00DB162E"/>
    <w:rsid w:val="00DC4B5D"/>
    <w:rsid w:val="00DE488D"/>
    <w:rsid w:val="00E176EF"/>
    <w:rsid w:val="00E26997"/>
    <w:rsid w:val="00E45615"/>
    <w:rsid w:val="00E45879"/>
    <w:rsid w:val="00E508A7"/>
    <w:rsid w:val="00E60DA5"/>
    <w:rsid w:val="00E67B25"/>
    <w:rsid w:val="00E84CEC"/>
    <w:rsid w:val="00E959FE"/>
    <w:rsid w:val="00E9760A"/>
    <w:rsid w:val="00EA79D7"/>
    <w:rsid w:val="00ED1BD2"/>
    <w:rsid w:val="00EE6221"/>
    <w:rsid w:val="00EF3D1F"/>
    <w:rsid w:val="00F15CFB"/>
    <w:rsid w:val="00F31879"/>
    <w:rsid w:val="00F53356"/>
    <w:rsid w:val="00F562BD"/>
    <w:rsid w:val="00F57006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AB98A"/>
  <w15:docId w15:val="{B32EEE23-6BFD-4E96-959D-52F8F7B9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5335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335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Noklusjumarindkopasfonts"/>
    <w:rsid w:val="00EE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4</cp:revision>
  <cp:lastPrinted>2013-10-29T13:49:00Z</cp:lastPrinted>
  <dcterms:created xsi:type="dcterms:W3CDTF">2024-09-02T14:23:00Z</dcterms:created>
  <dcterms:modified xsi:type="dcterms:W3CDTF">2024-09-02T14:24:00Z</dcterms:modified>
</cp:coreProperties>
</file>