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013D6" w:rsidRDefault="001013D6" w:rsidP="00DB162E">
            <w:pPr>
              <w:pStyle w:val="Subtitle"/>
              <w:jc w:val="both"/>
              <w:rPr>
                <w:b/>
                <w:sz w:val="22"/>
              </w:rPr>
            </w:pPr>
            <w:r w:rsidRPr="001013D6">
              <w:rPr>
                <w:b/>
                <w:szCs w:val="24"/>
              </w:rPr>
              <w:t>Tehniskās dokumentācijas izstrāde ēkas K.Valdemāra ielā 31, Rīgā jumta terases hidroizolācijas darbu veikšanai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1013D6">
        <w:rPr>
          <w:sz w:val="22"/>
        </w:rPr>
        <w:t xml:space="preserve"> –</w:t>
      </w:r>
      <w:r>
        <w:rPr>
          <w:sz w:val="22"/>
        </w:rPr>
        <w:t xml:space="preserve"> </w:t>
      </w:r>
      <w:r w:rsidR="006F2B23">
        <w:rPr>
          <w:sz w:val="22"/>
          <w:u w:val="single"/>
        </w:rPr>
        <w:t>PA /</w:t>
      </w:r>
      <w:r w:rsidR="001013D6">
        <w:rPr>
          <w:sz w:val="22"/>
          <w:u w:val="single"/>
        </w:rPr>
        <w:t>2016/38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013D6">
        <w:rPr>
          <w:sz w:val="22"/>
          <w:u w:val="single"/>
        </w:rPr>
        <w:t>25.05.2016.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Pr="000366E5" w:rsidRDefault="00B62AA6">
      <w:pPr>
        <w:pStyle w:val="Subtitle"/>
        <w:ind w:left="2127" w:hanging="2127"/>
        <w:jc w:val="left"/>
        <w:rPr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 xml:space="preserve">. Informācija par līguma izpildītāju un līgumcenu </w:t>
      </w:r>
      <w:r w:rsidR="000366E5">
        <w:rPr>
          <w:b/>
          <w:sz w:val="22"/>
        </w:rPr>
        <w:t xml:space="preserve">– </w:t>
      </w:r>
      <w:r w:rsidR="000366E5">
        <w:rPr>
          <w:sz w:val="22"/>
        </w:rPr>
        <w:t>iepirkums izbeigts bez rezultāta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DF09FC">
        <w:rPr>
          <w:sz w:val="22"/>
          <w:u w:val="single"/>
        </w:rPr>
        <w:t>27</w:t>
      </w:r>
      <w:bookmarkStart w:id="0" w:name="_GoBack"/>
      <w:bookmarkEnd w:id="0"/>
      <w:r w:rsidR="001013D6">
        <w:rPr>
          <w:sz w:val="22"/>
          <w:u w:val="single"/>
        </w:rPr>
        <w:t>.05.2016</w:t>
      </w:r>
      <w:r w:rsidR="00AD467F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366E5"/>
    <w:rsid w:val="0004569D"/>
    <w:rsid w:val="000536F0"/>
    <w:rsid w:val="000673F9"/>
    <w:rsid w:val="0009444B"/>
    <w:rsid w:val="000B345E"/>
    <w:rsid w:val="000D6813"/>
    <w:rsid w:val="000E083C"/>
    <w:rsid w:val="001013D6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53E4"/>
    <w:rsid w:val="002665C9"/>
    <w:rsid w:val="002756DB"/>
    <w:rsid w:val="002B315A"/>
    <w:rsid w:val="002E2090"/>
    <w:rsid w:val="00314694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96F9C"/>
    <w:rsid w:val="006D1820"/>
    <w:rsid w:val="006F2B23"/>
    <w:rsid w:val="00706333"/>
    <w:rsid w:val="00727C5E"/>
    <w:rsid w:val="00732A4D"/>
    <w:rsid w:val="0073441F"/>
    <w:rsid w:val="00757B61"/>
    <w:rsid w:val="007763AB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8E3C70"/>
    <w:rsid w:val="009607B6"/>
    <w:rsid w:val="009C66B0"/>
    <w:rsid w:val="009D3206"/>
    <w:rsid w:val="00A03BDA"/>
    <w:rsid w:val="00A13F97"/>
    <w:rsid w:val="00A93C8B"/>
    <w:rsid w:val="00A960E1"/>
    <w:rsid w:val="00AC5334"/>
    <w:rsid w:val="00AD467F"/>
    <w:rsid w:val="00AF5820"/>
    <w:rsid w:val="00B0189C"/>
    <w:rsid w:val="00B309E9"/>
    <w:rsid w:val="00B34A9F"/>
    <w:rsid w:val="00B62AA6"/>
    <w:rsid w:val="00B73AB5"/>
    <w:rsid w:val="00B86A3D"/>
    <w:rsid w:val="00BE6366"/>
    <w:rsid w:val="00C72206"/>
    <w:rsid w:val="00C76ACD"/>
    <w:rsid w:val="00C80F0A"/>
    <w:rsid w:val="00C8350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F09FC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2016-05-27T04:53:00Z</dcterms:created>
  <dcterms:modified xsi:type="dcterms:W3CDTF">2016-05-27T04:53:00Z</dcterms:modified>
</cp:coreProperties>
</file>