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361F09" w:rsidRDefault="00361F09" w:rsidP="00361F09">
            <w:pPr>
              <w:pStyle w:val="Subtitle"/>
              <w:rPr>
                <w:b/>
              </w:rPr>
            </w:pPr>
            <w:r>
              <w:rPr>
                <w:b/>
              </w:rPr>
              <w:t>AS</w:t>
            </w:r>
            <w:r w:rsidR="00342327" w:rsidRPr="00342327">
              <w:rPr>
                <w:b/>
              </w:rPr>
              <w:t xml:space="preserve"> “Publisko aktīvu pārvaldītājs </w:t>
            </w:r>
            <w:proofErr w:type="spellStart"/>
            <w:r w:rsidR="00342327" w:rsidRPr="00342327">
              <w:rPr>
                <w:b/>
              </w:rPr>
              <w:t>Possessor</w:t>
            </w:r>
            <w:proofErr w:type="spellEnd"/>
            <w:r w:rsidR="00342327" w:rsidRPr="00342327">
              <w:rPr>
                <w:b/>
              </w:rPr>
              <w:t xml:space="preserve"> 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Tr="00361F09">
        <w:trPr>
          <w:cantSplit/>
          <w:trHeight w:val="290"/>
        </w:trPr>
        <w:tc>
          <w:tcPr>
            <w:tcW w:w="1008" w:type="dxa"/>
          </w:tcPr>
          <w:p w:rsidR="002B315A" w:rsidRDefault="008A7C79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361F09" w:rsidRDefault="007656F9" w:rsidP="00800D80">
            <w:pPr>
              <w:pStyle w:val="Subtitle"/>
              <w:rPr>
                <w:b/>
                <w:sz w:val="22"/>
              </w:rPr>
            </w:pPr>
            <w:r w:rsidRPr="000C21E3">
              <w:rPr>
                <w:b/>
                <w:szCs w:val="24"/>
              </w:rPr>
              <w:t>Zemes vienību kadastrālā uzmērīšana, dzīvojamām mājām funkcionāli nepieciešamo zemes gabalu noteikšana un projektu izstrādāšana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PA</w:t>
      </w:r>
      <w:r w:rsidR="0048223C" w:rsidRPr="001D6BEA">
        <w:rPr>
          <w:szCs w:val="24"/>
          <w:u w:val="single"/>
        </w:rPr>
        <w:t>/</w:t>
      </w:r>
      <w:r w:rsidR="00575B6D">
        <w:rPr>
          <w:szCs w:val="24"/>
          <w:u w:val="single"/>
        </w:rPr>
        <w:t>2019/</w:t>
      </w:r>
      <w:r w:rsidR="007656F9">
        <w:rPr>
          <w:szCs w:val="24"/>
          <w:u w:val="single"/>
        </w:rPr>
        <w:t>41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7656F9">
        <w:rPr>
          <w:szCs w:val="24"/>
          <w:u w:val="single"/>
        </w:rPr>
        <w:t>19</w:t>
      </w:r>
      <w:r w:rsidR="00361F09">
        <w:rPr>
          <w:szCs w:val="24"/>
          <w:u w:val="single"/>
        </w:rPr>
        <w:t>.09.</w:t>
      </w:r>
      <w:r w:rsidR="00FB5FFC">
        <w:rPr>
          <w:szCs w:val="24"/>
          <w:u w:val="single"/>
        </w:rPr>
        <w:t>2019.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:rsidTr="00850EAA">
        <w:trPr>
          <w:cantSplit/>
          <w:trHeight w:val="1197"/>
        </w:trPr>
        <w:tc>
          <w:tcPr>
            <w:tcW w:w="2552" w:type="dxa"/>
            <w:vAlign w:val="center"/>
          </w:tcPr>
          <w:p w:rsidR="00850EAA" w:rsidRDefault="00850EA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850EAA" w:rsidRDefault="00850EA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:rsidR="00850EAA" w:rsidRDefault="00850EA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:rsidR="00850EAA" w:rsidRPr="004C2732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:rsidR="00850EAA" w:rsidRPr="00342327" w:rsidRDefault="00850EAA" w:rsidP="00342327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850EAA" w:rsidRPr="00B64A8B" w:rsidTr="00850EAA">
        <w:trPr>
          <w:cantSplit/>
          <w:trHeight w:val="487"/>
        </w:trPr>
        <w:tc>
          <w:tcPr>
            <w:tcW w:w="2552" w:type="dxa"/>
            <w:vAlign w:val="center"/>
          </w:tcPr>
          <w:p w:rsidR="00850EAA" w:rsidRPr="007656F9" w:rsidRDefault="007656F9" w:rsidP="00342327">
            <w:pPr>
              <w:pStyle w:val="Subtitle"/>
              <w:spacing w:line="276" w:lineRule="auto"/>
              <w:ind w:left="-57" w:right="-57"/>
              <w:rPr>
                <w:b/>
                <w:szCs w:val="24"/>
              </w:rPr>
            </w:pPr>
            <w:r w:rsidRPr="007656F9">
              <w:rPr>
                <w:b/>
              </w:rPr>
              <w:t>Sertificēts mērnieks Sergejs Kovaļovs</w:t>
            </w:r>
          </w:p>
        </w:tc>
        <w:tc>
          <w:tcPr>
            <w:tcW w:w="1985" w:type="dxa"/>
            <w:vAlign w:val="center"/>
          </w:tcPr>
          <w:p w:rsidR="00850EAA" w:rsidRPr="00B64A8B" w:rsidRDefault="007656F9" w:rsidP="00342327">
            <w:pPr>
              <w:pStyle w:val="Subtitle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17037910210</w:t>
            </w:r>
          </w:p>
        </w:tc>
        <w:tc>
          <w:tcPr>
            <w:tcW w:w="3005" w:type="dxa"/>
            <w:vAlign w:val="center"/>
          </w:tcPr>
          <w:p w:rsidR="00850EAA" w:rsidRPr="00B64A8B" w:rsidRDefault="007656F9" w:rsidP="00342327">
            <w:pPr>
              <w:pStyle w:val="Subtitle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Vienības iela 44-96, Daugavpils, LV - 5401</w:t>
            </w:r>
          </w:p>
        </w:tc>
        <w:tc>
          <w:tcPr>
            <w:tcW w:w="1843" w:type="dxa"/>
            <w:vAlign w:val="center"/>
          </w:tcPr>
          <w:p w:rsidR="007656F9" w:rsidRPr="007656F9" w:rsidRDefault="007656F9" w:rsidP="007656F9">
            <w:pPr>
              <w:jc w:val="center"/>
              <w:rPr>
                <w:szCs w:val="24"/>
              </w:rPr>
            </w:pPr>
            <w:r w:rsidRPr="007656F9">
              <w:rPr>
                <w:szCs w:val="24"/>
              </w:rPr>
              <w:t xml:space="preserve">Zemes vienība Tukuma ielā 91, Daugavpilī - </w:t>
            </w:r>
          </w:p>
          <w:p w:rsidR="00850EAA" w:rsidRPr="00B64A8B" w:rsidRDefault="007656F9" w:rsidP="00342327">
            <w:pPr>
              <w:pStyle w:val="Subtitle"/>
              <w:spacing w:line="276" w:lineRule="auto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490.00 EUR</w:t>
            </w:r>
          </w:p>
        </w:tc>
      </w:tr>
    </w:tbl>
    <w:p w:rsidR="002B315A" w:rsidRDefault="002B315A"/>
    <w:p w:rsidR="00EB598B" w:rsidRDefault="00EB598B" w:rsidP="00EB598B">
      <w:pPr>
        <w:jc w:val="both"/>
        <w:rPr>
          <w:szCs w:val="24"/>
        </w:rPr>
      </w:pPr>
      <w:r>
        <w:t xml:space="preserve">5.1. </w:t>
      </w:r>
      <w:r>
        <w:rPr>
          <w:szCs w:val="24"/>
        </w:rPr>
        <w:t xml:space="preserve">Iepirkuma komisija 2019.gada 17.septembrī nolēma izbeigt Aptauju </w:t>
      </w:r>
      <w:r>
        <w:t xml:space="preserve">“Zemes vienību kadastrālā uzmērīšana, dzīvojamām mājām funkcionāli nepieciešamo zemes gabalu noteikšana un projektu izstrādāšana” (PA/2019/41) </w:t>
      </w:r>
      <w:r>
        <w:rPr>
          <w:szCs w:val="24"/>
        </w:rPr>
        <w:t>bez rezultāta daļā par dzīvojamās mājas Domes ielā 39A, Subatē, funkcionāli nepieciešamā zemes gabala noteikšanu un projekta izstrādāšanu, jo par minēto objektu nebija iesniegts neviens piedāvājums.</w:t>
      </w:r>
    </w:p>
    <w:p w:rsidR="00EB598B" w:rsidRDefault="00EB598B" w:rsidP="00EB598B">
      <w:pPr>
        <w:jc w:val="both"/>
      </w:pPr>
      <w:r>
        <w:rPr>
          <w:szCs w:val="24"/>
        </w:rPr>
        <w:t>5.2. Iepirkuma komisija 2019.gada 19</w:t>
      </w:r>
      <w:r>
        <w:rPr>
          <w:szCs w:val="24"/>
        </w:rPr>
        <w:t xml:space="preserve">.septembrī nolēma izbeigt Aptauju </w:t>
      </w:r>
      <w:r>
        <w:t xml:space="preserve">“Zemes vienību kadastrālā uzmērīšana, dzīvojamām mājām funkcionāli nepieciešamo zemes gabalu noteikšana un projektu izstrādāšana” (PA/2019/41) </w:t>
      </w:r>
      <w:r>
        <w:rPr>
          <w:szCs w:val="24"/>
        </w:rPr>
        <w:t>bez rezultāta daļā par</w:t>
      </w:r>
      <w:r>
        <w:rPr>
          <w:szCs w:val="24"/>
        </w:rPr>
        <w:t xml:space="preserve"> </w:t>
      </w:r>
      <w:r>
        <w:rPr>
          <w:szCs w:val="24"/>
        </w:rPr>
        <w:t xml:space="preserve">zemes vienības “Mazie Lāči”, Skrundas pagastā, Skrundas novadā, kadastrālo uzmērīšanu un dzīvojamai mājai funkcionāli nepieciešamā zemes gabala noteikšanu un projekta izstrādāšanu, jo </w:t>
      </w:r>
      <w:r>
        <w:rPr>
          <w:szCs w:val="24"/>
        </w:rPr>
        <w:t>pretendenta</w:t>
      </w:r>
      <w:r>
        <w:rPr>
          <w:szCs w:val="24"/>
        </w:rPr>
        <w:t xml:space="preserve"> piedāvātā cena pārsniedz Pasūtītāja plānotos un konkrētā pakalpojuma apmaksai pieejamos finanšu resursus.</w:t>
      </w:r>
    </w:p>
    <w:p w:rsidR="00EB598B" w:rsidRDefault="00EB598B">
      <w:pPr>
        <w:pStyle w:val="Subtitle"/>
        <w:jc w:val="both"/>
        <w:rPr>
          <w:b/>
        </w:rPr>
      </w:pPr>
      <w:bookmarkStart w:id="0" w:name="_GoBack"/>
      <w:bookmarkEnd w:id="0"/>
    </w:p>
    <w:p w:rsidR="002B315A" w:rsidRPr="001D6BEA" w:rsidRDefault="002B315A">
      <w:pPr>
        <w:pStyle w:val="Subtitle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7656F9">
        <w:rPr>
          <w:szCs w:val="24"/>
          <w:u w:val="single"/>
        </w:rPr>
        <w:t>20</w:t>
      </w:r>
      <w:r w:rsidR="00361F09">
        <w:rPr>
          <w:szCs w:val="24"/>
          <w:u w:val="single"/>
        </w:rPr>
        <w:t>.09</w:t>
      </w:r>
      <w:r w:rsidR="00FB5FFC">
        <w:rPr>
          <w:szCs w:val="24"/>
          <w:u w:val="single"/>
        </w:rPr>
        <w:t>.2019.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43011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E69"/>
    <w:rsid w:val="00886940"/>
    <w:rsid w:val="008A7C79"/>
    <w:rsid w:val="008C195D"/>
    <w:rsid w:val="008C77F8"/>
    <w:rsid w:val="008E3281"/>
    <w:rsid w:val="00913FC1"/>
    <w:rsid w:val="009479C2"/>
    <w:rsid w:val="009607B6"/>
    <w:rsid w:val="009B48CF"/>
    <w:rsid w:val="009C66B0"/>
    <w:rsid w:val="009D3206"/>
    <w:rsid w:val="00A03612"/>
    <w:rsid w:val="00A03BDA"/>
    <w:rsid w:val="00A93C8B"/>
    <w:rsid w:val="00A96E32"/>
    <w:rsid w:val="00AB43A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5445C"/>
    <w:rsid w:val="00C76ACD"/>
    <w:rsid w:val="00C80F0A"/>
    <w:rsid w:val="00CB0E17"/>
    <w:rsid w:val="00CB50D8"/>
    <w:rsid w:val="00CD388C"/>
    <w:rsid w:val="00CD7541"/>
    <w:rsid w:val="00CE23E2"/>
    <w:rsid w:val="00CF796A"/>
    <w:rsid w:val="00D07574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76EF"/>
    <w:rsid w:val="00E45615"/>
    <w:rsid w:val="00E45879"/>
    <w:rsid w:val="00E508A7"/>
    <w:rsid w:val="00E60DA5"/>
    <w:rsid w:val="00E67B25"/>
    <w:rsid w:val="00E959FE"/>
    <w:rsid w:val="00E9760A"/>
    <w:rsid w:val="00EA79D7"/>
    <w:rsid w:val="00EB598B"/>
    <w:rsid w:val="00ED1BD2"/>
    <w:rsid w:val="00EF3D1F"/>
    <w:rsid w:val="00F15CFB"/>
    <w:rsid w:val="00F31879"/>
    <w:rsid w:val="00F562BD"/>
    <w:rsid w:val="00F57006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  <w:style w:type="paragraph" w:customStyle="1" w:styleId="Adrese">
    <w:name w:val="Adrese"/>
    <w:basedOn w:val="Normal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  <w:style w:type="paragraph" w:customStyle="1" w:styleId="Adrese">
    <w:name w:val="Adrese"/>
    <w:basedOn w:val="Normal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1219</Words>
  <Characters>695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5</cp:revision>
  <cp:lastPrinted>2013-10-29T13:49:00Z</cp:lastPrinted>
  <dcterms:created xsi:type="dcterms:W3CDTF">2019-09-18T08:09:00Z</dcterms:created>
  <dcterms:modified xsi:type="dcterms:W3CDTF">2019-09-20T05:33:00Z</dcterms:modified>
</cp:coreProperties>
</file>