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315A" w:rsidRDefault="002B315A">
      <w:pPr>
        <w:pStyle w:val="Nosaukums"/>
        <w:rPr>
          <w:sz w:val="28"/>
        </w:rPr>
      </w:pPr>
      <w:r>
        <w:rPr>
          <w:sz w:val="28"/>
        </w:rPr>
        <w:t>Paziņojums par lēmuma pieņemšanu</w:t>
      </w:r>
    </w:p>
    <w:p w:rsidR="002B315A" w:rsidRDefault="002B315A">
      <w:pPr>
        <w:pStyle w:val="Nosaukums"/>
        <w:rPr>
          <w:sz w:val="28"/>
        </w:rPr>
      </w:pPr>
    </w:p>
    <w:p w:rsidR="002B315A" w:rsidRDefault="002B315A">
      <w:pPr>
        <w:pStyle w:val="Apakvirsraksts"/>
        <w:jc w:val="left"/>
        <w:rPr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7740"/>
      </w:tblGrid>
      <w:tr w:rsidR="002B315A" w:rsidRPr="00182EAE">
        <w:trPr>
          <w:cantSplit/>
        </w:trPr>
        <w:tc>
          <w:tcPr>
            <w:tcW w:w="1548" w:type="dxa"/>
            <w:vMerge w:val="restart"/>
          </w:tcPr>
          <w:p w:rsidR="002B315A" w:rsidRPr="00182EAE" w:rsidRDefault="002B315A">
            <w:pPr>
              <w:pStyle w:val="Apakvirsraksts"/>
              <w:ind w:right="-694"/>
              <w:jc w:val="both"/>
              <w:rPr>
                <w:b/>
                <w:szCs w:val="24"/>
              </w:rPr>
            </w:pPr>
            <w:r w:rsidRPr="00182EAE">
              <w:rPr>
                <w:b/>
                <w:szCs w:val="24"/>
              </w:rPr>
              <w:t xml:space="preserve">1. Pasūtītājs -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15A" w:rsidRPr="00182EAE" w:rsidRDefault="00182EAE">
            <w:pPr>
              <w:pStyle w:val="Apakvirsraksts"/>
              <w:rPr>
                <w:b/>
                <w:szCs w:val="24"/>
              </w:rPr>
            </w:pPr>
            <w:r w:rsidRPr="00182EAE">
              <w:rPr>
                <w:b/>
                <w:szCs w:val="24"/>
              </w:rPr>
              <w:t xml:space="preserve">AS “Publisko aktīvu pārvaldītājs </w:t>
            </w:r>
            <w:proofErr w:type="spellStart"/>
            <w:r w:rsidRPr="00182EAE">
              <w:rPr>
                <w:b/>
                <w:szCs w:val="24"/>
              </w:rPr>
              <w:t>Possessor</w:t>
            </w:r>
            <w:proofErr w:type="spellEnd"/>
            <w:r w:rsidRPr="00182EAE">
              <w:rPr>
                <w:b/>
                <w:szCs w:val="24"/>
              </w:rPr>
              <w:t>”</w:t>
            </w:r>
          </w:p>
        </w:tc>
      </w:tr>
      <w:tr w:rsidR="002B315A" w:rsidRPr="00182EAE">
        <w:trPr>
          <w:cantSplit/>
        </w:trPr>
        <w:tc>
          <w:tcPr>
            <w:tcW w:w="1548" w:type="dxa"/>
            <w:vMerge/>
            <w:vAlign w:val="center"/>
          </w:tcPr>
          <w:p w:rsidR="002B315A" w:rsidRPr="00182EAE" w:rsidRDefault="002B315A">
            <w:pPr>
              <w:ind w:right="-694"/>
              <w:rPr>
                <w:b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15A" w:rsidRPr="00182EAE" w:rsidRDefault="002B315A">
            <w:pPr>
              <w:pStyle w:val="Apakvirsraksts"/>
              <w:ind w:right="-108"/>
              <w:rPr>
                <w:szCs w:val="24"/>
              </w:rPr>
            </w:pPr>
          </w:p>
        </w:tc>
      </w:tr>
    </w:tbl>
    <w:p w:rsidR="002B315A" w:rsidRPr="00182EAE" w:rsidRDefault="002B315A">
      <w:pPr>
        <w:pStyle w:val="Apakvirsraksts"/>
        <w:ind w:right="-694"/>
        <w:jc w:val="left"/>
        <w:rPr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236"/>
        <w:gridCol w:w="2104"/>
        <w:gridCol w:w="1080"/>
        <w:gridCol w:w="1260"/>
        <w:gridCol w:w="900"/>
        <w:gridCol w:w="2700"/>
      </w:tblGrid>
      <w:tr w:rsidR="002B315A" w:rsidRPr="00182EAE">
        <w:trPr>
          <w:cantSplit/>
          <w:trHeight w:val="233"/>
        </w:trPr>
        <w:tc>
          <w:tcPr>
            <w:tcW w:w="1008" w:type="dxa"/>
          </w:tcPr>
          <w:p w:rsidR="002B315A" w:rsidRPr="00182EAE" w:rsidRDefault="007C470B">
            <w:pPr>
              <w:pStyle w:val="Apakvirsraksts"/>
              <w:ind w:right="-288"/>
              <w:jc w:val="both"/>
              <w:rPr>
                <w:szCs w:val="24"/>
              </w:rPr>
            </w:pPr>
            <w:r w:rsidRPr="00182EAE">
              <w:rPr>
                <w:szCs w:val="24"/>
              </w:rPr>
              <w:t>Tālrunis</w:t>
            </w:r>
            <w:r w:rsidR="002B315A" w:rsidRPr="00182EAE">
              <w:rPr>
                <w:szCs w:val="24"/>
              </w:rPr>
              <w:t xml:space="preserve"> -</w:t>
            </w:r>
          </w:p>
        </w:tc>
        <w:tc>
          <w:tcPr>
            <w:tcW w:w="236" w:type="dxa"/>
          </w:tcPr>
          <w:p w:rsidR="002B315A" w:rsidRPr="00182EAE" w:rsidRDefault="002B315A">
            <w:pPr>
              <w:pStyle w:val="Apakvirsraksts"/>
              <w:ind w:right="-694"/>
              <w:jc w:val="right"/>
              <w:rPr>
                <w:b/>
                <w:szCs w:val="24"/>
              </w:rPr>
            </w:pPr>
            <w:r w:rsidRPr="00182EAE">
              <w:rPr>
                <w:szCs w:val="24"/>
              </w:rPr>
              <w:t>-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:rsidR="002B315A" w:rsidRPr="00182EAE" w:rsidRDefault="007C470B">
            <w:pPr>
              <w:pStyle w:val="Apakvirsraksts"/>
              <w:ind w:right="-694"/>
              <w:jc w:val="left"/>
              <w:rPr>
                <w:b/>
                <w:szCs w:val="24"/>
              </w:rPr>
            </w:pPr>
            <w:r w:rsidRPr="00182EAE">
              <w:rPr>
                <w:b/>
                <w:szCs w:val="24"/>
              </w:rPr>
              <w:t>67021358</w:t>
            </w:r>
          </w:p>
        </w:tc>
        <w:tc>
          <w:tcPr>
            <w:tcW w:w="1080" w:type="dxa"/>
          </w:tcPr>
          <w:p w:rsidR="002B315A" w:rsidRPr="00182EAE" w:rsidRDefault="002B315A">
            <w:pPr>
              <w:pStyle w:val="Apakvirsraksts"/>
              <w:ind w:right="-108"/>
              <w:rPr>
                <w:b/>
                <w:szCs w:val="24"/>
              </w:rPr>
            </w:pPr>
            <w:r w:rsidRPr="00182EAE">
              <w:rPr>
                <w:szCs w:val="24"/>
              </w:rPr>
              <w:t>Fakss 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B315A" w:rsidRPr="00182EAE" w:rsidRDefault="002B315A">
            <w:pPr>
              <w:pStyle w:val="Apakvirsraksts"/>
              <w:ind w:right="-694"/>
              <w:jc w:val="left"/>
              <w:rPr>
                <w:b/>
                <w:szCs w:val="24"/>
              </w:rPr>
            </w:pPr>
            <w:r w:rsidRPr="00182EAE">
              <w:rPr>
                <w:b/>
                <w:szCs w:val="24"/>
              </w:rPr>
              <w:t>67830363</w:t>
            </w:r>
          </w:p>
        </w:tc>
        <w:tc>
          <w:tcPr>
            <w:tcW w:w="900" w:type="dxa"/>
          </w:tcPr>
          <w:p w:rsidR="002B315A" w:rsidRPr="00182EAE" w:rsidRDefault="002B315A">
            <w:pPr>
              <w:pStyle w:val="Apakvirsraksts"/>
              <w:ind w:left="-57" w:right="-694"/>
              <w:jc w:val="left"/>
              <w:rPr>
                <w:b/>
                <w:szCs w:val="24"/>
              </w:rPr>
            </w:pPr>
            <w:r w:rsidRPr="00182EAE">
              <w:rPr>
                <w:szCs w:val="24"/>
              </w:rPr>
              <w:t xml:space="preserve">E - </w:t>
            </w:r>
            <w:proofErr w:type="spellStart"/>
            <w:r w:rsidRPr="00182EAE">
              <w:rPr>
                <w:szCs w:val="24"/>
              </w:rPr>
              <w:t>mail</w:t>
            </w:r>
            <w:proofErr w:type="spellEnd"/>
            <w:r w:rsidRPr="00182EAE">
              <w:rPr>
                <w:szCs w:val="24"/>
              </w:rPr>
              <w:t>-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2B315A" w:rsidRPr="00182EAE" w:rsidRDefault="00182EAE">
            <w:pPr>
              <w:pStyle w:val="Apakvirsraksts"/>
              <w:ind w:right="-108"/>
              <w:jc w:val="left"/>
              <w:rPr>
                <w:b/>
                <w:szCs w:val="24"/>
              </w:rPr>
            </w:pPr>
            <w:r w:rsidRPr="00182EAE">
              <w:rPr>
                <w:b/>
                <w:szCs w:val="24"/>
              </w:rPr>
              <w:t>info@possessor.gov.lv</w:t>
            </w:r>
          </w:p>
        </w:tc>
      </w:tr>
    </w:tbl>
    <w:p w:rsidR="002B315A" w:rsidRDefault="002B315A">
      <w:pPr>
        <w:pStyle w:val="Apakvirsraksts"/>
        <w:ind w:right="-694"/>
        <w:jc w:val="both"/>
        <w:rPr>
          <w:sz w:val="20"/>
        </w:rPr>
      </w:pPr>
    </w:p>
    <w:p w:rsidR="002B315A" w:rsidRDefault="002B315A">
      <w:pPr>
        <w:pStyle w:val="Apakvirsraksts"/>
        <w:ind w:right="-694"/>
        <w:jc w:val="both"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4500"/>
      </w:tblGrid>
      <w:tr w:rsidR="002B315A">
        <w:trPr>
          <w:cantSplit/>
        </w:trPr>
        <w:tc>
          <w:tcPr>
            <w:tcW w:w="4788" w:type="dxa"/>
            <w:vMerge w:val="restart"/>
          </w:tcPr>
          <w:p w:rsidR="002B315A" w:rsidRDefault="002B315A">
            <w:pPr>
              <w:pStyle w:val="Apakvirsraksts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2. </w:t>
            </w:r>
            <w:r>
              <w:rPr>
                <w:b/>
                <w:noProof/>
                <w:sz w:val="22"/>
              </w:rPr>
              <w:t>Paredzamā iepirkuma</w:t>
            </w:r>
            <w:r>
              <w:rPr>
                <w:b/>
                <w:sz w:val="22"/>
              </w:rPr>
              <w:t xml:space="preserve"> priekšmets -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15A" w:rsidRPr="00182EAE" w:rsidRDefault="00182EAE" w:rsidP="00182EAE">
            <w:pPr>
              <w:pStyle w:val="Apakvirsraksts"/>
              <w:rPr>
                <w:b/>
                <w:bCs/>
                <w:szCs w:val="24"/>
              </w:rPr>
            </w:pPr>
            <w:r w:rsidRPr="00182EAE">
              <w:rPr>
                <w:b/>
                <w:bCs/>
                <w:szCs w:val="24"/>
              </w:rPr>
              <w:t xml:space="preserve">AS "Publisko aktīvu pārvaldītājs </w:t>
            </w:r>
            <w:proofErr w:type="spellStart"/>
            <w:r w:rsidRPr="00182EAE">
              <w:rPr>
                <w:b/>
                <w:bCs/>
                <w:szCs w:val="24"/>
              </w:rPr>
              <w:t>Possessor</w:t>
            </w:r>
            <w:proofErr w:type="spellEnd"/>
            <w:r w:rsidRPr="00182EAE">
              <w:rPr>
                <w:b/>
                <w:bCs/>
                <w:szCs w:val="24"/>
              </w:rPr>
              <w:t xml:space="preserve">" ēku un teritorijas </w:t>
            </w:r>
            <w:proofErr w:type="spellStart"/>
            <w:r w:rsidRPr="00182EAE">
              <w:rPr>
                <w:b/>
                <w:bCs/>
                <w:szCs w:val="24"/>
              </w:rPr>
              <w:t>K.Valdemāra</w:t>
            </w:r>
            <w:proofErr w:type="spellEnd"/>
            <w:r w:rsidRPr="00182EAE">
              <w:rPr>
                <w:b/>
                <w:bCs/>
                <w:szCs w:val="24"/>
              </w:rPr>
              <w:t xml:space="preserve"> ielā 31, Rīgā, apsardze</w:t>
            </w:r>
          </w:p>
        </w:tc>
      </w:tr>
      <w:tr w:rsidR="002B315A">
        <w:trPr>
          <w:cantSplit/>
        </w:trPr>
        <w:tc>
          <w:tcPr>
            <w:tcW w:w="4788" w:type="dxa"/>
            <w:vMerge/>
            <w:vAlign w:val="center"/>
          </w:tcPr>
          <w:p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15A" w:rsidRDefault="002B315A">
            <w:pPr>
              <w:pStyle w:val="Apakvirsraksts"/>
              <w:ind w:right="-694"/>
              <w:rPr>
                <w:sz w:val="18"/>
              </w:rPr>
            </w:pPr>
            <w:r>
              <w:rPr>
                <w:sz w:val="18"/>
              </w:rPr>
              <w:t>(nosaukums)</w:t>
            </w:r>
          </w:p>
        </w:tc>
      </w:tr>
    </w:tbl>
    <w:p w:rsidR="002B315A" w:rsidRDefault="002B315A">
      <w:pPr>
        <w:pStyle w:val="Apakvirsraksts"/>
        <w:ind w:right="-694"/>
        <w:jc w:val="left"/>
        <w:rPr>
          <w:sz w:val="20"/>
        </w:rPr>
      </w:pPr>
    </w:p>
    <w:p w:rsidR="002B315A" w:rsidRDefault="002B315A">
      <w:pPr>
        <w:pStyle w:val="Apakvirsraksts"/>
        <w:ind w:right="-694"/>
        <w:jc w:val="left"/>
        <w:rPr>
          <w:sz w:val="20"/>
        </w:rPr>
      </w:pPr>
    </w:p>
    <w:p w:rsidR="002B315A" w:rsidRPr="00182EAE" w:rsidRDefault="002B315A">
      <w:pPr>
        <w:pStyle w:val="Apakvirsraksts"/>
        <w:ind w:hanging="180"/>
        <w:jc w:val="both"/>
        <w:rPr>
          <w:szCs w:val="24"/>
          <w:u w:val="single"/>
        </w:rPr>
      </w:pPr>
      <w:r w:rsidRPr="00182EAE">
        <w:rPr>
          <w:b/>
          <w:szCs w:val="24"/>
        </w:rPr>
        <w:t xml:space="preserve">   3. Identifikācijas numurs</w:t>
      </w:r>
      <w:r w:rsidR="001013D6" w:rsidRPr="00182EAE">
        <w:rPr>
          <w:szCs w:val="24"/>
        </w:rPr>
        <w:t xml:space="preserve"> –</w:t>
      </w:r>
      <w:r w:rsidRPr="00182EAE">
        <w:rPr>
          <w:szCs w:val="24"/>
        </w:rPr>
        <w:t xml:space="preserve"> </w:t>
      </w:r>
      <w:r w:rsidR="00182EAE" w:rsidRPr="00182EAE">
        <w:rPr>
          <w:szCs w:val="24"/>
          <w:u w:val="single"/>
        </w:rPr>
        <w:t>POSSESSOR/2020/56</w:t>
      </w:r>
    </w:p>
    <w:p w:rsidR="002E2090" w:rsidRPr="00182EAE" w:rsidRDefault="002E2090">
      <w:pPr>
        <w:pStyle w:val="Apakvirsraksts"/>
        <w:ind w:hanging="180"/>
        <w:jc w:val="both"/>
        <w:rPr>
          <w:szCs w:val="24"/>
          <w:u w:val="single"/>
        </w:rPr>
      </w:pPr>
    </w:p>
    <w:p w:rsidR="002E2090" w:rsidRPr="00182EAE" w:rsidRDefault="002E2090" w:rsidP="002E2090">
      <w:pPr>
        <w:pStyle w:val="Apakvirsraksts"/>
        <w:jc w:val="both"/>
        <w:rPr>
          <w:b/>
          <w:szCs w:val="24"/>
        </w:rPr>
      </w:pPr>
    </w:p>
    <w:p w:rsidR="002E2090" w:rsidRPr="00182EAE" w:rsidRDefault="002E2090" w:rsidP="002E2090">
      <w:pPr>
        <w:pStyle w:val="Apakvirsraksts"/>
        <w:jc w:val="both"/>
        <w:rPr>
          <w:szCs w:val="24"/>
          <w:u w:val="single"/>
        </w:rPr>
      </w:pPr>
      <w:r w:rsidRPr="00182EAE">
        <w:rPr>
          <w:b/>
          <w:szCs w:val="24"/>
        </w:rPr>
        <w:t xml:space="preserve">4. Lēmuma spēkā stāšanās datums </w:t>
      </w:r>
      <w:r w:rsidRPr="00182EAE">
        <w:rPr>
          <w:szCs w:val="24"/>
        </w:rPr>
        <w:t xml:space="preserve">- </w:t>
      </w:r>
      <w:r w:rsidRPr="00182EAE">
        <w:rPr>
          <w:szCs w:val="24"/>
          <w:u w:val="single"/>
        </w:rPr>
        <w:t>_</w:t>
      </w:r>
      <w:r w:rsidR="00182EAE" w:rsidRPr="00182EAE">
        <w:rPr>
          <w:szCs w:val="24"/>
          <w:u w:val="single"/>
        </w:rPr>
        <w:t>14.09.2020.</w:t>
      </w:r>
    </w:p>
    <w:p w:rsidR="002E2090" w:rsidRDefault="002E2090" w:rsidP="002E2090">
      <w:pPr>
        <w:pStyle w:val="Apakvirsraksts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</w:t>
      </w:r>
      <w:r w:rsidR="007C470B">
        <w:rPr>
          <w:sz w:val="18"/>
        </w:rPr>
        <w:t xml:space="preserve">                         </w:t>
      </w:r>
      <w:r w:rsidR="00182EAE">
        <w:rPr>
          <w:sz w:val="18"/>
        </w:rPr>
        <w:tab/>
      </w:r>
      <w:r>
        <w:rPr>
          <w:sz w:val="18"/>
        </w:rPr>
        <w:t xml:space="preserve"> (diena/mēnesis/gads)</w:t>
      </w:r>
    </w:p>
    <w:p w:rsidR="002B315A" w:rsidRDefault="002B315A">
      <w:pPr>
        <w:pStyle w:val="Apakvirsraksts"/>
        <w:jc w:val="left"/>
        <w:rPr>
          <w:noProof/>
          <w:sz w:val="16"/>
        </w:rPr>
      </w:pPr>
    </w:p>
    <w:p w:rsidR="002B315A" w:rsidRDefault="002B315A">
      <w:pPr>
        <w:pStyle w:val="Apakvirsraksts"/>
        <w:jc w:val="both"/>
        <w:rPr>
          <w:sz w:val="16"/>
        </w:rPr>
      </w:pPr>
    </w:p>
    <w:p w:rsidR="00886507" w:rsidRPr="00182EAE" w:rsidRDefault="00B62AA6">
      <w:pPr>
        <w:pStyle w:val="Apakvirsraksts"/>
        <w:ind w:left="2127" w:hanging="2127"/>
        <w:jc w:val="left"/>
        <w:rPr>
          <w:b/>
          <w:szCs w:val="24"/>
        </w:rPr>
      </w:pPr>
      <w:r w:rsidRPr="00182EAE">
        <w:rPr>
          <w:b/>
          <w:szCs w:val="24"/>
        </w:rPr>
        <w:t>4</w:t>
      </w:r>
      <w:r w:rsidR="002B315A" w:rsidRPr="00182EAE">
        <w:rPr>
          <w:b/>
          <w:szCs w:val="24"/>
        </w:rPr>
        <w:t xml:space="preserve">. Informācija par līguma izpildītāju un līgumcenu </w:t>
      </w:r>
      <w:r w:rsidR="000366E5" w:rsidRPr="00182EAE">
        <w:rPr>
          <w:b/>
          <w:szCs w:val="24"/>
        </w:rPr>
        <w:t>–</w:t>
      </w:r>
    </w:p>
    <w:p w:rsidR="00011652" w:rsidRPr="00182EAE" w:rsidRDefault="002A403D" w:rsidP="00011652">
      <w:pPr>
        <w:jc w:val="both"/>
        <w:rPr>
          <w:i/>
          <w:szCs w:val="24"/>
        </w:rPr>
      </w:pPr>
      <w:r w:rsidRPr="00182EAE">
        <w:rPr>
          <w:szCs w:val="24"/>
        </w:rPr>
        <w:t xml:space="preserve">AS “Publisko aktīvu pārvaldītājs </w:t>
      </w:r>
      <w:proofErr w:type="spellStart"/>
      <w:r w:rsidRPr="00182EAE">
        <w:rPr>
          <w:szCs w:val="24"/>
        </w:rPr>
        <w:t>Possessor</w:t>
      </w:r>
      <w:proofErr w:type="spellEnd"/>
      <w:r w:rsidRPr="00182EAE">
        <w:rPr>
          <w:szCs w:val="24"/>
        </w:rPr>
        <w:t>” 2020.gada 14.septembrī ir saņemts Iepirkumu uzraudzības birojam</w:t>
      </w:r>
      <w:r w:rsidR="00182EAE" w:rsidRPr="00182EAE">
        <w:rPr>
          <w:szCs w:val="24"/>
        </w:rPr>
        <w:t xml:space="preserve"> </w:t>
      </w:r>
      <w:r w:rsidRPr="00182EAE">
        <w:rPr>
          <w:szCs w:val="24"/>
        </w:rPr>
        <w:t>adresēts iesniegums no ieinteresētā piegādātāja par Iepirkuma nolikuma 12.8.</w:t>
      </w:r>
      <w:r w:rsidR="004D5D83" w:rsidRPr="00182EAE">
        <w:rPr>
          <w:szCs w:val="24"/>
        </w:rPr>
        <w:t>,</w:t>
      </w:r>
      <w:r w:rsidRPr="00182EAE">
        <w:rPr>
          <w:szCs w:val="24"/>
        </w:rPr>
        <w:t>12.9.</w:t>
      </w:r>
      <w:r w:rsidR="004D5D83" w:rsidRPr="00182EAE">
        <w:rPr>
          <w:szCs w:val="24"/>
        </w:rPr>
        <w:t xml:space="preserve"> un 21.2.</w:t>
      </w:r>
      <w:r w:rsidRPr="00182EAE">
        <w:rPr>
          <w:szCs w:val="24"/>
        </w:rPr>
        <w:t xml:space="preserve">apakšpunktos noteiktajām atlases prasībām, kas </w:t>
      </w:r>
      <w:r w:rsidR="008474D8" w:rsidRPr="00182EAE">
        <w:rPr>
          <w:szCs w:val="24"/>
        </w:rPr>
        <w:t xml:space="preserve">ieinteresētā piegādātāja </w:t>
      </w:r>
      <w:r w:rsidR="008474D8">
        <w:rPr>
          <w:szCs w:val="24"/>
        </w:rPr>
        <w:t xml:space="preserve">ieskatā </w:t>
      </w:r>
      <w:r w:rsidRPr="00182EAE">
        <w:rPr>
          <w:szCs w:val="24"/>
        </w:rPr>
        <w:t>ir konkurenci ierobežojošas. Izvērtējot iesniegumā minēto</w:t>
      </w:r>
      <w:r w:rsidR="004D5D83" w:rsidRPr="00182EAE">
        <w:rPr>
          <w:szCs w:val="24"/>
        </w:rPr>
        <w:t xml:space="preserve">, Pasūtītājs secina, ka Iepirkuma nolikuma 12.8.,12.9. un 21.2.apakšpunktos noteiktās atlases prasības var tikt neviennozīmīgi interpretētas un tās </w:t>
      </w:r>
      <w:r w:rsidR="008474D8">
        <w:rPr>
          <w:szCs w:val="24"/>
        </w:rPr>
        <w:t xml:space="preserve">var </w:t>
      </w:r>
      <w:r w:rsidR="004D5D83" w:rsidRPr="00182EAE">
        <w:rPr>
          <w:szCs w:val="24"/>
        </w:rPr>
        <w:t>saprast kā</w:t>
      </w:r>
      <w:r w:rsidRPr="00182EAE">
        <w:rPr>
          <w:szCs w:val="24"/>
        </w:rPr>
        <w:t xml:space="preserve"> </w:t>
      </w:r>
      <w:r w:rsidR="004D5D83" w:rsidRPr="00182EAE">
        <w:rPr>
          <w:szCs w:val="24"/>
        </w:rPr>
        <w:t xml:space="preserve">brīvu konkurenci ierobežojošas. Lai sekmētu 12.8.,12.9. un 21.2.apakšpunktos noteikto atlases prasību vienādu izpratni un neierobežotu </w:t>
      </w:r>
      <w:r w:rsidR="00182EAE" w:rsidRPr="00182EAE">
        <w:rPr>
          <w:szCs w:val="24"/>
        </w:rPr>
        <w:t xml:space="preserve">piegādātāju </w:t>
      </w:r>
      <w:r w:rsidR="004D5D83" w:rsidRPr="00182EAE">
        <w:rPr>
          <w:szCs w:val="24"/>
        </w:rPr>
        <w:t xml:space="preserve">brīvu konkurenci, Pasūtītājs </w:t>
      </w:r>
      <w:r w:rsidRPr="00182EAE">
        <w:rPr>
          <w:szCs w:val="24"/>
        </w:rPr>
        <w:t>2020.gada 14.septembrī</w:t>
      </w:r>
      <w:r w:rsidR="004D5D83" w:rsidRPr="00182EAE">
        <w:rPr>
          <w:szCs w:val="24"/>
        </w:rPr>
        <w:t xml:space="preserve"> nolēma iepirkumu </w:t>
      </w:r>
      <w:r w:rsidR="00011652" w:rsidRPr="00182EAE">
        <w:rPr>
          <w:szCs w:val="24"/>
        </w:rPr>
        <w:t>pārtraukt sask</w:t>
      </w:r>
      <w:r w:rsidR="000631C4" w:rsidRPr="00182EAE">
        <w:rPr>
          <w:szCs w:val="24"/>
        </w:rPr>
        <w:t>aņā ar Publisko iepirkumu likuma</w:t>
      </w:r>
      <w:r w:rsidR="007C470B" w:rsidRPr="00182EAE">
        <w:rPr>
          <w:szCs w:val="24"/>
        </w:rPr>
        <w:t xml:space="preserve"> </w:t>
      </w:r>
      <w:r w:rsidR="004D5D83" w:rsidRPr="00182EAE">
        <w:rPr>
          <w:szCs w:val="24"/>
        </w:rPr>
        <w:t>32</w:t>
      </w:r>
      <w:r w:rsidR="005004C8" w:rsidRPr="00182EAE">
        <w:rPr>
          <w:szCs w:val="24"/>
        </w:rPr>
        <w:t>.</w:t>
      </w:r>
      <w:r w:rsidR="00011652" w:rsidRPr="00182EAE">
        <w:rPr>
          <w:szCs w:val="24"/>
        </w:rPr>
        <w:t xml:space="preserve">panta </w:t>
      </w:r>
      <w:r w:rsidR="004D5D83" w:rsidRPr="00182EAE">
        <w:rPr>
          <w:szCs w:val="24"/>
        </w:rPr>
        <w:t>otro</w:t>
      </w:r>
      <w:r w:rsidR="00011652" w:rsidRPr="00182EAE">
        <w:rPr>
          <w:szCs w:val="24"/>
        </w:rPr>
        <w:t xml:space="preserve"> daļu.</w:t>
      </w:r>
      <w:bookmarkStart w:id="0" w:name="_GoBack"/>
      <w:bookmarkEnd w:id="0"/>
    </w:p>
    <w:p w:rsidR="002B315A" w:rsidRPr="00182EAE" w:rsidRDefault="002B315A">
      <w:pPr>
        <w:pStyle w:val="Apakvirsraksts"/>
        <w:ind w:left="2127" w:hanging="2127"/>
        <w:jc w:val="left"/>
        <w:rPr>
          <w:szCs w:val="24"/>
        </w:rPr>
      </w:pPr>
    </w:p>
    <w:p w:rsidR="002B315A" w:rsidRPr="00182EAE" w:rsidRDefault="002B315A">
      <w:pPr>
        <w:rPr>
          <w:szCs w:val="24"/>
        </w:rPr>
      </w:pPr>
    </w:p>
    <w:p w:rsidR="002B315A" w:rsidRPr="00182EAE" w:rsidRDefault="002B315A">
      <w:pPr>
        <w:pStyle w:val="Apakvirsraksts"/>
        <w:jc w:val="both"/>
        <w:rPr>
          <w:szCs w:val="24"/>
          <w:u w:val="single"/>
        </w:rPr>
      </w:pPr>
      <w:r w:rsidRPr="00182EAE">
        <w:rPr>
          <w:b/>
          <w:szCs w:val="24"/>
        </w:rPr>
        <w:t>6. Publicēšanas datums –</w:t>
      </w:r>
      <w:r w:rsidR="00182EAE" w:rsidRPr="00182EAE">
        <w:rPr>
          <w:szCs w:val="24"/>
          <w:u w:val="single"/>
        </w:rPr>
        <w:t>14.09.2020.</w:t>
      </w:r>
    </w:p>
    <w:p w:rsidR="002B315A" w:rsidRDefault="002B315A">
      <w:pPr>
        <w:pStyle w:val="Apakvirsraksts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(diena/mēnesis/gads)</w:t>
      </w:r>
    </w:p>
    <w:p w:rsidR="002B315A" w:rsidRDefault="002B315A">
      <w:pPr>
        <w:pStyle w:val="Apakvirsraksts"/>
        <w:jc w:val="both"/>
        <w:rPr>
          <w:sz w:val="16"/>
        </w:rPr>
      </w:pPr>
    </w:p>
    <w:p w:rsidR="002B315A" w:rsidRDefault="002B315A">
      <w:pPr>
        <w:rPr>
          <w:b/>
        </w:rPr>
      </w:pPr>
    </w:p>
    <w:sectPr w:rsidR="002B315A" w:rsidSect="00B309E9">
      <w:pgSz w:w="11906" w:h="16838"/>
      <w:pgMar w:top="993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500"/>
    <w:rsid w:val="00011652"/>
    <w:rsid w:val="0001346B"/>
    <w:rsid w:val="00030525"/>
    <w:rsid w:val="000366E5"/>
    <w:rsid w:val="0004569D"/>
    <w:rsid w:val="000536F0"/>
    <w:rsid w:val="000631C4"/>
    <w:rsid w:val="000673F9"/>
    <w:rsid w:val="0009444B"/>
    <w:rsid w:val="000B345E"/>
    <w:rsid w:val="000D6813"/>
    <w:rsid w:val="000E083C"/>
    <w:rsid w:val="001013D6"/>
    <w:rsid w:val="00127458"/>
    <w:rsid w:val="0013754C"/>
    <w:rsid w:val="00140524"/>
    <w:rsid w:val="0015281B"/>
    <w:rsid w:val="001644A8"/>
    <w:rsid w:val="00164983"/>
    <w:rsid w:val="00177F07"/>
    <w:rsid w:val="00182EAE"/>
    <w:rsid w:val="001D2831"/>
    <w:rsid w:val="00211A23"/>
    <w:rsid w:val="00217963"/>
    <w:rsid w:val="00235AD7"/>
    <w:rsid w:val="002553E4"/>
    <w:rsid w:val="002665C9"/>
    <w:rsid w:val="002756DB"/>
    <w:rsid w:val="002A403D"/>
    <w:rsid w:val="002B315A"/>
    <w:rsid w:val="002E2090"/>
    <w:rsid w:val="00314694"/>
    <w:rsid w:val="00331502"/>
    <w:rsid w:val="00335DD2"/>
    <w:rsid w:val="003434A3"/>
    <w:rsid w:val="003557D9"/>
    <w:rsid w:val="00385CD0"/>
    <w:rsid w:val="003C006F"/>
    <w:rsid w:val="003E70D2"/>
    <w:rsid w:val="00411500"/>
    <w:rsid w:val="0042045C"/>
    <w:rsid w:val="00443628"/>
    <w:rsid w:val="00445B11"/>
    <w:rsid w:val="0045236B"/>
    <w:rsid w:val="00485E22"/>
    <w:rsid w:val="004A0AF3"/>
    <w:rsid w:val="004D5D83"/>
    <w:rsid w:val="005004C8"/>
    <w:rsid w:val="005A1D1E"/>
    <w:rsid w:val="005B1DEA"/>
    <w:rsid w:val="005B3DEA"/>
    <w:rsid w:val="005C6E14"/>
    <w:rsid w:val="00623BC9"/>
    <w:rsid w:val="00644E10"/>
    <w:rsid w:val="00681375"/>
    <w:rsid w:val="0069351D"/>
    <w:rsid w:val="00696F9C"/>
    <w:rsid w:val="006D1820"/>
    <w:rsid w:val="006F2B23"/>
    <w:rsid w:val="00706333"/>
    <w:rsid w:val="00727C5E"/>
    <w:rsid w:val="00732A4D"/>
    <w:rsid w:val="0073441F"/>
    <w:rsid w:val="007460C8"/>
    <w:rsid w:val="00757B61"/>
    <w:rsid w:val="007763AB"/>
    <w:rsid w:val="00795C44"/>
    <w:rsid w:val="007B4CC7"/>
    <w:rsid w:val="007C2C5F"/>
    <w:rsid w:val="007C470B"/>
    <w:rsid w:val="007E41C7"/>
    <w:rsid w:val="007E6231"/>
    <w:rsid w:val="007F5B9E"/>
    <w:rsid w:val="008474D8"/>
    <w:rsid w:val="0086496B"/>
    <w:rsid w:val="00865E69"/>
    <w:rsid w:val="00886507"/>
    <w:rsid w:val="008C195D"/>
    <w:rsid w:val="008C77F8"/>
    <w:rsid w:val="008E3281"/>
    <w:rsid w:val="008E3C70"/>
    <w:rsid w:val="009607B6"/>
    <w:rsid w:val="009C66B0"/>
    <w:rsid w:val="009D3206"/>
    <w:rsid w:val="00A03BDA"/>
    <w:rsid w:val="00A13F97"/>
    <w:rsid w:val="00A3700B"/>
    <w:rsid w:val="00A93C8B"/>
    <w:rsid w:val="00A960E1"/>
    <w:rsid w:val="00AC5334"/>
    <w:rsid w:val="00AD467F"/>
    <w:rsid w:val="00AF5820"/>
    <w:rsid w:val="00B0189C"/>
    <w:rsid w:val="00B309E9"/>
    <w:rsid w:val="00B34A9F"/>
    <w:rsid w:val="00B62AA6"/>
    <w:rsid w:val="00B73AB5"/>
    <w:rsid w:val="00B86A3D"/>
    <w:rsid w:val="00BE6366"/>
    <w:rsid w:val="00C72206"/>
    <w:rsid w:val="00C76ACD"/>
    <w:rsid w:val="00C80F0A"/>
    <w:rsid w:val="00C83500"/>
    <w:rsid w:val="00CB0E17"/>
    <w:rsid w:val="00CB50D8"/>
    <w:rsid w:val="00CD388C"/>
    <w:rsid w:val="00CF796A"/>
    <w:rsid w:val="00D15BF1"/>
    <w:rsid w:val="00D202B0"/>
    <w:rsid w:val="00D45DAA"/>
    <w:rsid w:val="00D54348"/>
    <w:rsid w:val="00D96F57"/>
    <w:rsid w:val="00DB162E"/>
    <w:rsid w:val="00DC4B5D"/>
    <w:rsid w:val="00E45615"/>
    <w:rsid w:val="00E67B25"/>
    <w:rsid w:val="00EA79D7"/>
    <w:rsid w:val="00ED1BD2"/>
    <w:rsid w:val="00EF3D1F"/>
    <w:rsid w:val="00F15CFB"/>
    <w:rsid w:val="00F562BD"/>
    <w:rsid w:val="00F57006"/>
    <w:rsid w:val="00FB2C50"/>
    <w:rsid w:val="00FC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015963"/>
  <w15:docId w15:val="{0E083C01-19D5-4FA1-8002-063702E70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Pr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qFormat/>
    <w:pPr>
      <w:jc w:val="center"/>
    </w:pPr>
    <w:rPr>
      <w:b/>
    </w:rPr>
  </w:style>
  <w:style w:type="paragraph" w:styleId="Apakvirsraksts">
    <w:name w:val="Subtitle"/>
    <w:basedOn w:val="Parasts"/>
    <w:link w:val="ApakvirsrakstsRakstz"/>
    <w:qFormat/>
    <w:pPr>
      <w:jc w:val="center"/>
    </w:pPr>
  </w:style>
  <w:style w:type="character" w:customStyle="1" w:styleId="ApakvirsrakstsRakstz">
    <w:name w:val="Apakšvirsraksts Rakstz."/>
    <w:link w:val="Apakvirsraksts"/>
    <w:rsid w:val="002E209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81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921</Words>
  <Characters>526</Characters>
  <Application>Microsoft Office Word</Application>
  <DocSecurity>0</DocSecurity>
  <Lines>4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Paziņojums par lēmuma pieņemšanu</vt:lpstr>
      <vt:lpstr>Paziņojums par lēmuma pieņemšanu</vt:lpstr>
    </vt:vector>
  </TitlesOfParts>
  <Company>Latvia Privatisation Agency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Paziņojums par lēmuma pieņemšanu</dc:title>
  <dc:creator>Zanda Strautniece</dc:creator>
  <cp:lastModifiedBy>Eva Jonāse</cp:lastModifiedBy>
  <cp:revision>5</cp:revision>
  <cp:lastPrinted>2013-10-29T13:49:00Z</cp:lastPrinted>
  <dcterms:created xsi:type="dcterms:W3CDTF">2020-09-14T13:19:00Z</dcterms:created>
  <dcterms:modified xsi:type="dcterms:W3CDTF">2020-09-14T14:11:00Z</dcterms:modified>
</cp:coreProperties>
</file>